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b/>
          <w:bCs/>
          <w:sz w:val="28"/>
          <w:szCs w:val="28"/>
        </w:rPr>
        <w:t xml:space="preserve">2.5. Ознакомление </w:t>
      </w:r>
      <w:bookmarkStart w:id="0" w:name="_GoBack"/>
      <w:bookmarkEnd w:id="0"/>
      <w:r w:rsidRPr="002D7EF9">
        <w:rPr>
          <w:b/>
          <w:bCs/>
          <w:sz w:val="28"/>
          <w:szCs w:val="28"/>
        </w:rPr>
        <w:t xml:space="preserve">с результатами итогового сочинения (изложения),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2.5.1. С результатами итогового сочинения (изложения) участники могут ознакомиться в образовательных организациях или в местах регистрации для участия в написании итогового сочинения (изложения). По решению ОИВ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(далее – сеть «Интернет») в соответствии с требованиями законодательства Российской Федерации в области защиты персональных данных.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2.5.2. Итоговое сочинение (изложение) как допуск к ГИА – бессрочно.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2.5.3. Итоговое сочинение в случае представления его при приеме на обучение по программам </w:t>
      </w:r>
      <w:proofErr w:type="spellStart"/>
      <w:r w:rsidRPr="002D7EF9">
        <w:rPr>
          <w:sz w:val="28"/>
          <w:szCs w:val="28"/>
        </w:rPr>
        <w:t>бакалавриата</w:t>
      </w:r>
      <w:proofErr w:type="spellEnd"/>
      <w:r w:rsidRPr="002D7EF9">
        <w:rPr>
          <w:sz w:val="28"/>
          <w:szCs w:val="28"/>
        </w:rPr>
        <w:t xml:space="preserve"> и программам </w:t>
      </w:r>
      <w:proofErr w:type="spellStart"/>
      <w:r w:rsidRPr="002D7EF9">
        <w:rPr>
          <w:sz w:val="28"/>
          <w:szCs w:val="28"/>
        </w:rPr>
        <w:t>специалитета</w:t>
      </w:r>
      <w:proofErr w:type="spellEnd"/>
      <w:r w:rsidRPr="002D7EF9">
        <w:rPr>
          <w:sz w:val="28"/>
          <w:szCs w:val="28"/>
        </w:rPr>
        <w:t xml:space="preserve"> действительно в течение четырех лет, следующих за годом написания такого сочинения.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2.5.4. Лица, перечисленные в подпункте 2.1.2 настоящих Методических рекомендаций, могут участвовать в итоговом сочинении, в том числе при наличии у них итогового сочинения прошлых лет.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Лица, перечисленные в подпункте 2.1.2 настоящих Методических рекомендаций,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2.5.5.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 </w:t>
      </w:r>
    </w:p>
    <w:p w:rsidR="007F0E00" w:rsidRPr="002D7EF9" w:rsidRDefault="005F56E4" w:rsidP="005F56E4">
      <w:pPr>
        <w:rPr>
          <w:rFonts w:ascii="Times New Roman" w:hAnsi="Times New Roman" w:cs="Times New Roman"/>
          <w:sz w:val="28"/>
          <w:szCs w:val="28"/>
        </w:rPr>
      </w:pPr>
      <w:r w:rsidRPr="002D7EF9">
        <w:rPr>
          <w:rFonts w:ascii="Times New Roman" w:hAnsi="Times New Roman" w:cs="Times New Roman"/>
          <w:sz w:val="28"/>
          <w:szCs w:val="28"/>
        </w:rPr>
        <w:t xml:space="preserve">2.5.6. В соответствии с пунктом 33 Порядка приема в рамках приема на обучение по программам </w:t>
      </w:r>
      <w:proofErr w:type="spellStart"/>
      <w:r w:rsidRPr="002D7EF9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D7EF9"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 w:rsidRPr="002D7EF9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2D7EF9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высшего образования может начислять баллы 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поступающему за индивидуальные достижения, не может быть более 10 баллов. Баллы, начисленные за индивидуальные достижения, включаются в сумму конкурсных баллов. Перечень индивидуальных достижений, учитываемых при равенстве поступающих по критериям ранжирования, указанным в подпунктах 1-4 пункта 76 и в подпунктах 1-4 пункта 77 Порядка, устанавливается образовательной организацией высшего образования самостоятельно. В случае равенства поступающих по указанным достижениям перечень таких достижений может быть дополнен в период проведения приема.</w:t>
      </w:r>
    </w:p>
    <w:sectPr w:rsidR="007F0E00" w:rsidRPr="002D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44"/>
    <w:rsid w:val="002D7EF9"/>
    <w:rsid w:val="005F56E4"/>
    <w:rsid w:val="007F0E00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35EEE-5E42-4038-AB7D-885AA4AB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5</cp:revision>
  <dcterms:created xsi:type="dcterms:W3CDTF">2022-11-07T11:17:00Z</dcterms:created>
  <dcterms:modified xsi:type="dcterms:W3CDTF">2022-11-07T11:18:00Z</dcterms:modified>
</cp:coreProperties>
</file>